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AFA" w:rsidRPr="001F0720" w:rsidRDefault="00247AFA">
      <w:pPr>
        <w:rPr>
          <w:szCs w:val="24"/>
        </w:rPr>
      </w:pPr>
    </w:p>
    <w:p w:rsidR="00247AFA" w:rsidRPr="002E5896" w:rsidRDefault="00247AFA" w:rsidP="00247AFA">
      <w:pPr>
        <w:spacing w:before="240" w:after="240" w:line="360" w:lineRule="auto"/>
        <w:jc w:val="right"/>
        <w:rPr>
          <w:rFonts w:ascii="Palatino Linotype" w:hAnsi="Palatino Linotype"/>
          <w:b/>
          <w:sz w:val="24"/>
          <w:szCs w:val="24"/>
        </w:rPr>
      </w:pPr>
      <w:r w:rsidRPr="002E5896">
        <w:rPr>
          <w:rFonts w:ascii="Palatino Linotype" w:hAnsi="Palatino Linotype"/>
          <w:b/>
          <w:sz w:val="24"/>
          <w:szCs w:val="24"/>
        </w:rPr>
        <w:t xml:space="preserve">Metepec, México, </w:t>
      </w:r>
      <w:r w:rsidR="00142683">
        <w:rPr>
          <w:rFonts w:ascii="Palatino Linotype" w:hAnsi="Palatino Linotype"/>
          <w:b/>
          <w:sz w:val="24"/>
          <w:szCs w:val="24"/>
        </w:rPr>
        <w:t>Noviembre 05</w:t>
      </w:r>
      <w:r w:rsidR="00C06F10">
        <w:rPr>
          <w:rFonts w:ascii="Palatino Linotype" w:hAnsi="Palatino Linotype"/>
          <w:b/>
          <w:sz w:val="24"/>
          <w:szCs w:val="24"/>
        </w:rPr>
        <w:t xml:space="preserve"> de 2018</w:t>
      </w:r>
    </w:p>
    <w:p w:rsidR="00247AFA" w:rsidRPr="002E5896" w:rsidRDefault="00247AFA" w:rsidP="00247AFA">
      <w:pPr>
        <w:spacing w:before="240" w:after="240" w:line="360" w:lineRule="auto"/>
        <w:jc w:val="both"/>
        <w:rPr>
          <w:b/>
          <w:noProof/>
          <w:sz w:val="24"/>
          <w:szCs w:val="24"/>
          <w:lang w:eastAsia="es-MX"/>
        </w:rPr>
      </w:pPr>
      <w:r w:rsidRPr="002E5896">
        <w:rPr>
          <w:b/>
          <w:noProof/>
          <w:sz w:val="24"/>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2E5896">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142683">
        <w:rPr>
          <w:rFonts w:ascii="Palatino Linotype" w:hAnsi="Palatino Linotype"/>
          <w:b/>
          <w:sz w:val="24"/>
          <w:szCs w:val="24"/>
        </w:rPr>
        <w:t>CUADRA</w:t>
      </w:r>
      <w:r w:rsidR="00676AA1" w:rsidRPr="002E5896">
        <w:rPr>
          <w:rFonts w:ascii="Palatino Linotype" w:hAnsi="Palatino Linotype"/>
          <w:b/>
          <w:sz w:val="24"/>
          <w:szCs w:val="24"/>
        </w:rPr>
        <w:t>GÉSIMA</w:t>
      </w:r>
      <w:r w:rsidRPr="002E5896">
        <w:rPr>
          <w:rFonts w:ascii="Palatino Linotype" w:hAnsi="Palatino Linotype"/>
          <w:b/>
          <w:sz w:val="24"/>
          <w:szCs w:val="24"/>
        </w:rPr>
        <w:t xml:space="preserve"> SESIÓN ORDINARIA DEL </w:t>
      </w:r>
      <w:r w:rsidR="00142683">
        <w:rPr>
          <w:rFonts w:ascii="Palatino Linotype" w:hAnsi="Palatino Linotype"/>
          <w:b/>
          <w:sz w:val="24"/>
          <w:szCs w:val="24"/>
        </w:rPr>
        <w:t>TREINTA Y UNO DE OCTUBRE</w:t>
      </w:r>
      <w:r w:rsidR="005F1255" w:rsidRPr="002E5896">
        <w:rPr>
          <w:rFonts w:ascii="Palatino Linotype" w:hAnsi="Palatino Linotype"/>
          <w:b/>
          <w:sz w:val="24"/>
          <w:szCs w:val="24"/>
        </w:rPr>
        <w:t xml:space="preserve"> </w:t>
      </w:r>
      <w:r w:rsidR="00676AA1" w:rsidRPr="002E5896">
        <w:rPr>
          <w:rFonts w:ascii="Palatino Linotype" w:hAnsi="Palatino Linotype"/>
          <w:b/>
          <w:sz w:val="24"/>
          <w:szCs w:val="24"/>
        </w:rPr>
        <w:t>DE DOS MIL DIECIOCHO</w:t>
      </w:r>
      <w:r w:rsidRPr="002E5896">
        <w:rPr>
          <w:rFonts w:ascii="Palatino Linotype" w:hAnsi="Palatino Linotype"/>
          <w:b/>
          <w:sz w:val="24"/>
          <w:szCs w:val="24"/>
        </w:rPr>
        <w:t xml:space="preserve">, EN EL RECURSO DE REVISIÓN </w:t>
      </w:r>
      <w:r w:rsidR="00142683">
        <w:rPr>
          <w:rFonts w:ascii="Palatino Linotype" w:hAnsi="Palatino Linotype"/>
          <w:b/>
          <w:bCs/>
          <w:sz w:val="24"/>
          <w:szCs w:val="24"/>
        </w:rPr>
        <w:t>03315</w:t>
      </w:r>
      <w:r w:rsidR="00676AA1" w:rsidRPr="002E5896">
        <w:rPr>
          <w:rFonts w:ascii="Palatino Linotype" w:hAnsi="Palatino Linotype"/>
          <w:b/>
          <w:bCs/>
          <w:sz w:val="24"/>
          <w:szCs w:val="24"/>
        </w:rPr>
        <w:t>/INFOEM/IP/RR/2018</w:t>
      </w:r>
      <w:r w:rsidRPr="002E5896">
        <w:rPr>
          <w:rFonts w:ascii="Palatino Linotype" w:hAnsi="Palatino Linotype"/>
          <w:b/>
          <w:sz w:val="24"/>
          <w:szCs w:val="24"/>
        </w:rPr>
        <w:t>.</w:t>
      </w:r>
    </w:p>
    <w:p w:rsidR="00365C9A" w:rsidRPr="002E5896" w:rsidRDefault="00365C9A" w:rsidP="00365C9A">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El Pleno del Instituto de Transparencia, Acceso a la Información Pública y Protección de Datos Personales del Estado de México resolvió por unanimidad de votos,  la resolución relativa al recurso de revisión </w:t>
      </w:r>
      <w:r w:rsidR="00142683">
        <w:rPr>
          <w:rFonts w:ascii="Palatino Linotype" w:hAnsi="Palatino Linotype" w:cs="Arial"/>
          <w:b/>
          <w:bCs/>
          <w:sz w:val="24"/>
          <w:szCs w:val="24"/>
          <w:lang w:eastAsia="es-MX"/>
        </w:rPr>
        <w:t>03315</w:t>
      </w:r>
      <w:r w:rsidR="00676AA1" w:rsidRPr="005F1255">
        <w:rPr>
          <w:rFonts w:ascii="Palatino Linotype" w:hAnsi="Palatino Linotype" w:cs="Arial"/>
          <w:b/>
          <w:bCs/>
          <w:sz w:val="24"/>
          <w:szCs w:val="24"/>
          <w:lang w:eastAsia="es-MX"/>
        </w:rPr>
        <w:t>/INFOEM/IP/RR/2018</w:t>
      </w:r>
      <w:r w:rsidRPr="002E5896">
        <w:rPr>
          <w:rFonts w:ascii="Palatino Linotype" w:hAnsi="Palatino Linotype" w:cs="Arial"/>
          <w:bCs/>
          <w:sz w:val="24"/>
          <w:szCs w:val="24"/>
          <w:lang w:eastAsia="es-MX"/>
        </w:rPr>
        <w:t xml:space="preserve"> </w:t>
      </w:r>
      <w:r w:rsidR="00142683">
        <w:rPr>
          <w:rFonts w:ascii="Palatino Linotype" w:hAnsi="Palatino Linotype"/>
          <w:sz w:val="24"/>
          <w:szCs w:val="24"/>
        </w:rPr>
        <w:t>presentada por la</w:t>
      </w:r>
      <w:r w:rsidRPr="002E5896">
        <w:rPr>
          <w:rFonts w:ascii="Palatino Linotype" w:hAnsi="Palatino Linotype"/>
          <w:sz w:val="24"/>
          <w:szCs w:val="24"/>
        </w:rPr>
        <w:t xml:space="preserve"> Comisi</w:t>
      </w:r>
      <w:r w:rsidR="00142683">
        <w:rPr>
          <w:rFonts w:ascii="Palatino Linotype" w:hAnsi="Palatino Linotype"/>
          <w:sz w:val="24"/>
          <w:szCs w:val="24"/>
        </w:rPr>
        <w:t>onada Presidenta</w:t>
      </w:r>
      <w:r w:rsidRPr="002E5896">
        <w:rPr>
          <w:rFonts w:ascii="Palatino Linotype" w:hAnsi="Palatino Linotype"/>
          <w:sz w:val="24"/>
          <w:szCs w:val="24"/>
        </w:rPr>
        <w:t xml:space="preserve"> </w:t>
      </w:r>
      <w:r w:rsidR="00142683">
        <w:rPr>
          <w:rFonts w:ascii="Palatino Linotype" w:hAnsi="Palatino Linotype"/>
          <w:sz w:val="24"/>
          <w:szCs w:val="24"/>
        </w:rPr>
        <w:t>Zulema Martínez Sánchez</w:t>
      </w:r>
      <w:r w:rsidRPr="002E5896">
        <w:rPr>
          <w:rFonts w:ascii="Palatino Linotype" w:hAnsi="Palatino Linotype"/>
          <w:sz w:val="24"/>
          <w:szCs w:val="24"/>
        </w:rPr>
        <w:t xml:space="preserve">, respecto de la cual, el suscrito, formula </w:t>
      </w:r>
      <w:r w:rsidRPr="002E5896">
        <w:rPr>
          <w:rFonts w:ascii="Palatino Linotype" w:hAnsi="Palatino Linotype"/>
          <w:b/>
          <w:sz w:val="24"/>
          <w:szCs w:val="24"/>
        </w:rPr>
        <w:t>VOTO PARTICULAR</w:t>
      </w:r>
      <w:r w:rsidRPr="002E5896">
        <w:rPr>
          <w:rFonts w:ascii="Palatino Linotype" w:hAnsi="Palatino Linotype"/>
          <w:sz w:val="24"/>
          <w:szCs w:val="24"/>
        </w:rPr>
        <w:t>, con fundamento en el artículo 14 fracción XI del Reglamento del Instituto de Transparencia, Acceso a la Información Pública y Protección de Personales Datos del Estado de México.</w:t>
      </w:r>
    </w:p>
    <w:p w:rsidR="00142683" w:rsidRDefault="00C20EEA" w:rsidP="005F1255">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hAnsi="Palatino Linotype"/>
          <w:sz w:val="24"/>
          <w:szCs w:val="24"/>
        </w:rPr>
        <w:t>P</w:t>
      </w:r>
      <w:r w:rsidR="00600BA3" w:rsidRPr="002E5896">
        <w:rPr>
          <w:rFonts w:ascii="Palatino Linotype" w:hAnsi="Palatino Linotype"/>
          <w:sz w:val="24"/>
          <w:szCs w:val="24"/>
        </w:rPr>
        <w:t>revia emisión del presente voto, cabe precisar que la materia en que radicó el recurso</w:t>
      </w:r>
      <w:r w:rsidR="00320195" w:rsidRPr="002E5896">
        <w:rPr>
          <w:rFonts w:ascii="Palatino Linotype" w:hAnsi="Palatino Linotype"/>
          <w:sz w:val="24"/>
          <w:szCs w:val="24"/>
        </w:rPr>
        <w:t xml:space="preserve"> de revisión, </w:t>
      </w:r>
      <w:r w:rsidR="00600BA3" w:rsidRPr="002E5896">
        <w:rPr>
          <w:rFonts w:ascii="Palatino Linotype" w:hAnsi="Palatino Linotype"/>
          <w:sz w:val="24"/>
          <w:szCs w:val="24"/>
        </w:rPr>
        <w:t>fue en que</w:t>
      </w:r>
      <w:r w:rsidR="005F1255">
        <w:rPr>
          <w:rFonts w:ascii="Palatino Linotype" w:hAnsi="Palatino Linotype"/>
          <w:sz w:val="24"/>
          <w:szCs w:val="24"/>
        </w:rPr>
        <w:t xml:space="preserve"> se proporcionara por par</w:t>
      </w:r>
      <w:r w:rsidR="00142683">
        <w:rPr>
          <w:rFonts w:ascii="Palatino Linotype" w:hAnsi="Palatino Linotype"/>
          <w:sz w:val="24"/>
          <w:szCs w:val="24"/>
        </w:rPr>
        <w:t>te de la Secretaría de Desarrollo Metropolitano y Urbano</w:t>
      </w:r>
      <w:r w:rsidR="00D6696F" w:rsidRPr="002E5896">
        <w:rPr>
          <w:rFonts w:ascii="Palatino Linotype" w:hAnsi="Palatino Linotype"/>
          <w:sz w:val="24"/>
          <w:szCs w:val="24"/>
        </w:rPr>
        <w:t xml:space="preserve"> lo siguiente</w:t>
      </w:r>
      <w:r w:rsidR="00600BA3" w:rsidRPr="002E5896">
        <w:rPr>
          <w:rFonts w:ascii="Palatino Linotype" w:hAnsi="Palatino Linotype"/>
          <w:sz w:val="24"/>
          <w:szCs w:val="24"/>
        </w:rPr>
        <w:t xml:space="preserve"> </w:t>
      </w:r>
      <w:r w:rsidR="00142683" w:rsidRPr="00142683">
        <w:rPr>
          <w:rFonts w:ascii="Palatino Linotype" w:hAnsi="Palatino Linotype"/>
          <w:i/>
          <w:sz w:val="24"/>
          <w:szCs w:val="24"/>
          <w:lang w:val="es-ES_tradnl"/>
        </w:rPr>
        <w:t>“perfil de puestos, de las áreas del titular, secretario técnico o particular y coordinadores, anexando evidencia de su preparación profesional y/o requisitos para ocupar el cargo”</w:t>
      </w:r>
      <w:r w:rsidR="00696583" w:rsidRPr="002E5896">
        <w:rPr>
          <w:rFonts w:ascii="Palatino Linotype" w:hAnsi="Palatino Linotype"/>
          <w:i/>
          <w:sz w:val="24"/>
          <w:szCs w:val="24"/>
        </w:rPr>
        <w:t xml:space="preserve"> (Sic)</w:t>
      </w:r>
      <w:r w:rsidR="005F1255">
        <w:rPr>
          <w:rFonts w:ascii="Palatino Linotype" w:hAnsi="Palatino Linotype"/>
          <w:i/>
          <w:sz w:val="24"/>
          <w:szCs w:val="24"/>
          <w:lang w:val="es-ES_tradnl"/>
        </w:rPr>
        <w:t>;</w:t>
      </w:r>
      <w:r w:rsidR="00600BA3" w:rsidRPr="002E5896">
        <w:rPr>
          <w:rFonts w:ascii="Palatino Linotype" w:eastAsia="Calibri" w:hAnsi="Palatino Linotype" w:cs="Arial"/>
          <w:color w:val="000000" w:themeColor="text1"/>
          <w:sz w:val="24"/>
          <w:szCs w:val="24"/>
          <w:lang w:val="es-ES"/>
        </w:rPr>
        <w:t xml:space="preserve"> </w:t>
      </w:r>
      <w:r w:rsidR="009D3E65" w:rsidRPr="002E5896">
        <w:rPr>
          <w:rFonts w:ascii="Palatino Linotype" w:eastAsia="Calibri" w:hAnsi="Palatino Linotype" w:cs="Arial"/>
          <w:color w:val="000000" w:themeColor="text1"/>
          <w:sz w:val="24"/>
          <w:szCs w:val="24"/>
          <w:lang w:val="es-ES"/>
        </w:rPr>
        <w:t xml:space="preserve">posteriormente el Sujeto Obligado </w:t>
      </w:r>
      <w:r w:rsidR="00BC44E5" w:rsidRPr="002E5896">
        <w:rPr>
          <w:rFonts w:ascii="Palatino Linotype" w:eastAsia="Calibri" w:hAnsi="Palatino Linotype" w:cs="Arial"/>
          <w:color w:val="000000" w:themeColor="text1"/>
          <w:sz w:val="24"/>
          <w:szCs w:val="24"/>
          <w:lang w:val="es-ES"/>
        </w:rPr>
        <w:lastRenderedPageBreak/>
        <w:t xml:space="preserve">envía como respuesta </w:t>
      </w:r>
      <w:r w:rsidR="00F3326D">
        <w:rPr>
          <w:rFonts w:ascii="Palatino Linotype" w:eastAsia="Calibri" w:hAnsi="Palatino Linotype" w:cs="Arial"/>
          <w:color w:val="000000" w:themeColor="text1"/>
          <w:sz w:val="24"/>
          <w:szCs w:val="24"/>
          <w:lang w:val="es-ES"/>
        </w:rPr>
        <w:t>un oficio en donde menciona que el perfil de puestos de los servidores públicos de quienes solicito información, no cuenta con ellos ya que corresponde a la Secretaría de Finanzas a través de la Dirección General de Personal formular y mantener actualizados los catálogos de puestos y tabuladores de sueldos, que con respecto a la evidencia acerca de la preparación profesional, se puede consultar el currículum vitae y refiere un link, finalmente respecto a los requisitos para ocupar el cargo, establece que no cuenta con dicha información.</w:t>
      </w:r>
    </w:p>
    <w:p w:rsidR="00515607" w:rsidRPr="002E5896" w:rsidRDefault="00F4125F" w:rsidP="00600BA3">
      <w:pPr>
        <w:spacing w:before="240" w:after="240" w:line="360" w:lineRule="auto"/>
        <w:jc w:val="both"/>
        <w:rPr>
          <w:rFonts w:ascii="Palatino Linotype" w:eastAsia="Calibri" w:hAnsi="Palatino Linotype" w:cs="Arial"/>
          <w:color w:val="000000" w:themeColor="text1"/>
          <w:sz w:val="24"/>
          <w:szCs w:val="24"/>
          <w:lang w:val="es-ES"/>
        </w:rPr>
      </w:pPr>
      <w:r w:rsidRPr="002E5896">
        <w:rPr>
          <w:rFonts w:ascii="Palatino Linotype" w:eastAsia="Calibri" w:hAnsi="Palatino Linotype" w:cs="Arial"/>
          <w:color w:val="000000" w:themeColor="text1"/>
          <w:sz w:val="24"/>
          <w:szCs w:val="24"/>
          <w:lang w:val="es-ES"/>
        </w:rPr>
        <w:t>Ahora, derivado de lo anterior la Ponencia que resolvió, determinó modificar la respuesta del Sujeto Obligado y ordenar lo siguiente:</w:t>
      </w:r>
    </w:p>
    <w:p w:rsidR="00F3326D" w:rsidRPr="00F3326D" w:rsidRDefault="00F4125F" w:rsidP="00F3326D">
      <w:pPr>
        <w:spacing w:before="100" w:beforeAutospacing="1" w:after="100" w:afterAutospacing="1" w:line="240" w:lineRule="auto"/>
        <w:ind w:left="851" w:right="851"/>
        <w:jc w:val="both"/>
        <w:rPr>
          <w:rFonts w:ascii="Palatino Linotype" w:hAnsi="Palatino Linotype" w:cs="Arial"/>
          <w:bCs/>
          <w:i/>
          <w:color w:val="222222"/>
          <w:lang w:eastAsia="es-MX"/>
        </w:rPr>
      </w:pPr>
      <w:r w:rsidRPr="002E71A8">
        <w:rPr>
          <w:rFonts w:ascii="Palatino Linotype" w:hAnsi="Palatino Linotype" w:cs="Arial"/>
          <w:bCs/>
          <w:i/>
          <w:color w:val="222222"/>
          <w:lang w:eastAsia="es-MX"/>
        </w:rPr>
        <w:t>“</w:t>
      </w:r>
      <w:r w:rsidR="00F3326D" w:rsidRPr="00F3326D">
        <w:rPr>
          <w:rFonts w:ascii="Palatino Linotype" w:hAnsi="Palatino Linotype" w:cs="Arial"/>
          <w:b/>
          <w:bCs/>
          <w:i/>
          <w:color w:val="222222"/>
          <w:lang w:eastAsia="es-MX"/>
        </w:rPr>
        <w:t>SEGUNDO.</w:t>
      </w:r>
      <w:r w:rsidR="00F3326D" w:rsidRPr="00F3326D">
        <w:rPr>
          <w:rFonts w:ascii="Palatino Linotype" w:hAnsi="Palatino Linotype" w:cs="Arial"/>
          <w:bCs/>
          <w:i/>
          <w:color w:val="222222"/>
          <w:lang w:eastAsia="es-MX"/>
        </w:rPr>
        <w:t xml:space="preserve"> Se </w:t>
      </w:r>
      <w:r w:rsidR="00F3326D" w:rsidRPr="00F3326D">
        <w:rPr>
          <w:rFonts w:ascii="Palatino Linotype" w:hAnsi="Palatino Linotype" w:cs="Arial"/>
          <w:b/>
          <w:bCs/>
          <w:i/>
          <w:color w:val="222222"/>
          <w:lang w:eastAsia="es-MX"/>
        </w:rPr>
        <w:t xml:space="preserve">ORDENA </w:t>
      </w:r>
      <w:r w:rsidR="00F3326D" w:rsidRPr="00F3326D">
        <w:rPr>
          <w:rFonts w:ascii="Palatino Linotype" w:hAnsi="Palatino Linotype" w:cs="Arial"/>
          <w:bCs/>
          <w:i/>
          <w:color w:val="222222"/>
          <w:lang w:eastAsia="es-MX"/>
        </w:rPr>
        <w:t xml:space="preserve">al </w:t>
      </w:r>
      <w:r w:rsidR="00F3326D" w:rsidRPr="00F3326D">
        <w:rPr>
          <w:rFonts w:ascii="Palatino Linotype" w:hAnsi="Palatino Linotype" w:cs="Arial"/>
          <w:b/>
          <w:bCs/>
          <w:i/>
          <w:color w:val="222222"/>
          <w:lang w:eastAsia="es-MX"/>
        </w:rPr>
        <w:t xml:space="preserve">Sujeto Obligado </w:t>
      </w:r>
      <w:r w:rsidR="00F3326D" w:rsidRPr="00F3326D">
        <w:rPr>
          <w:rFonts w:ascii="Palatino Linotype" w:hAnsi="Palatino Linotype" w:cs="Arial"/>
          <w:bCs/>
          <w:i/>
          <w:color w:val="222222"/>
          <w:lang w:eastAsia="es-MX"/>
        </w:rPr>
        <w:t xml:space="preserve">haga entrega al </w:t>
      </w:r>
      <w:r w:rsidR="00F3326D" w:rsidRPr="00F3326D">
        <w:rPr>
          <w:rFonts w:ascii="Palatino Linotype" w:hAnsi="Palatino Linotype" w:cs="Arial"/>
          <w:b/>
          <w:bCs/>
          <w:i/>
          <w:color w:val="222222"/>
          <w:lang w:eastAsia="es-MX"/>
        </w:rPr>
        <w:t xml:space="preserve">Recurrente, </w:t>
      </w:r>
      <w:r w:rsidR="00F3326D" w:rsidRPr="00F3326D">
        <w:rPr>
          <w:rFonts w:ascii="Palatino Linotype" w:hAnsi="Palatino Linotype" w:cs="Arial"/>
          <w:bCs/>
          <w:i/>
          <w:color w:val="222222"/>
          <w:lang w:eastAsia="es-MX"/>
        </w:rPr>
        <w:t xml:space="preserve">a través del SAIMEX, en términos del Considerando </w:t>
      </w:r>
      <w:r w:rsidR="00F3326D" w:rsidRPr="00F3326D">
        <w:rPr>
          <w:rFonts w:ascii="Palatino Linotype" w:hAnsi="Palatino Linotype" w:cs="Arial"/>
          <w:b/>
          <w:bCs/>
          <w:i/>
          <w:color w:val="222222"/>
          <w:lang w:eastAsia="es-MX"/>
        </w:rPr>
        <w:t>QUINTO</w:t>
      </w:r>
      <w:r w:rsidR="00F3326D" w:rsidRPr="00F3326D">
        <w:rPr>
          <w:rFonts w:ascii="Palatino Linotype" w:hAnsi="Palatino Linotype" w:cs="Arial"/>
          <w:bCs/>
          <w:i/>
          <w:color w:val="222222"/>
          <w:lang w:eastAsia="es-MX"/>
        </w:rPr>
        <w:t xml:space="preserve"> de la presente resolución, de lo siguiente:</w:t>
      </w:r>
    </w:p>
    <w:p w:rsidR="00F3326D" w:rsidRPr="00F3326D" w:rsidRDefault="00F3326D" w:rsidP="00F3326D">
      <w:pPr>
        <w:numPr>
          <w:ilvl w:val="0"/>
          <w:numId w:val="6"/>
        </w:numPr>
        <w:spacing w:before="100" w:beforeAutospacing="1" w:after="100" w:afterAutospacing="1" w:line="240" w:lineRule="auto"/>
        <w:ind w:right="851"/>
        <w:jc w:val="both"/>
        <w:rPr>
          <w:rFonts w:ascii="Palatino Linotype" w:hAnsi="Palatino Linotype" w:cs="Arial"/>
          <w:bCs/>
          <w:i/>
          <w:color w:val="222222"/>
          <w:lang w:val="es-ES" w:eastAsia="es-MX"/>
        </w:rPr>
      </w:pPr>
      <w:r w:rsidRPr="00F3326D">
        <w:rPr>
          <w:rFonts w:ascii="Palatino Linotype" w:hAnsi="Palatino Linotype" w:cs="Arial"/>
          <w:bCs/>
          <w:i/>
          <w:color w:val="222222"/>
          <w:lang w:val="es-ES" w:eastAsia="es-MX"/>
        </w:rPr>
        <w:t>El Acuerdo que emita el Comité de Transparencia mediante el que confirme la declaratoria de incompetencia del Sujeto Obligado, respecto de la información solicitada referente al perfil de puestos y requisitos para ocupar los cargos de los servidores públicos referidos en la solicitud de información.</w:t>
      </w:r>
    </w:p>
    <w:p w:rsidR="00F4125F" w:rsidRPr="00F3326D" w:rsidRDefault="00F3326D" w:rsidP="00F3326D">
      <w:pPr>
        <w:numPr>
          <w:ilvl w:val="0"/>
          <w:numId w:val="6"/>
        </w:numPr>
        <w:spacing w:before="100" w:beforeAutospacing="1" w:after="100" w:afterAutospacing="1" w:line="240" w:lineRule="auto"/>
        <w:ind w:right="851"/>
        <w:jc w:val="both"/>
        <w:rPr>
          <w:rFonts w:ascii="Palatino Linotype" w:hAnsi="Palatino Linotype" w:cs="Arial"/>
          <w:bCs/>
          <w:i/>
          <w:color w:val="222222"/>
          <w:lang w:eastAsia="es-MX"/>
        </w:rPr>
      </w:pPr>
      <w:r w:rsidRPr="00F3326D">
        <w:rPr>
          <w:rFonts w:ascii="Palatino Linotype" w:hAnsi="Palatino Linotype" w:cs="Arial"/>
          <w:bCs/>
          <w:i/>
          <w:color w:val="222222"/>
          <w:lang w:eastAsia="es-MX"/>
        </w:rPr>
        <w:t>El documento que acredite el grado máximo de estudios de los servidores públicos referidos en la solicitud de información, en versión pública.</w:t>
      </w:r>
      <w:r>
        <w:rPr>
          <w:rFonts w:ascii="Palatino Linotype" w:hAnsi="Palatino Linotype" w:cs="Arial"/>
          <w:bCs/>
          <w:i/>
          <w:color w:val="222222"/>
          <w:lang w:eastAsia="es-MX"/>
        </w:rPr>
        <w:t>” (Sic.)</w:t>
      </w:r>
    </w:p>
    <w:p w:rsidR="004E3E94" w:rsidRDefault="00F3326D" w:rsidP="002E5896">
      <w:pPr>
        <w:spacing w:before="240" w:after="240" w:line="360" w:lineRule="auto"/>
        <w:jc w:val="both"/>
        <w:rPr>
          <w:rFonts w:ascii="Palatino Linotype" w:hAnsi="Palatino Linotype"/>
          <w:sz w:val="24"/>
          <w:szCs w:val="24"/>
        </w:rPr>
      </w:pPr>
      <w:r>
        <w:rPr>
          <w:rFonts w:ascii="Palatino Linotype" w:hAnsi="Palatino Linotype"/>
          <w:sz w:val="24"/>
          <w:szCs w:val="24"/>
        </w:rPr>
        <w:t>C</w:t>
      </w:r>
      <w:r w:rsidR="00F01BDD" w:rsidRPr="00C12077">
        <w:rPr>
          <w:rFonts w:ascii="Palatino Linotype" w:hAnsi="Palatino Linotype"/>
          <w:sz w:val="24"/>
          <w:szCs w:val="24"/>
        </w:rPr>
        <w:t xml:space="preserve">abe hacer mención que el documento </w:t>
      </w:r>
      <w:r w:rsidR="00DF15CF">
        <w:rPr>
          <w:rFonts w:ascii="Palatino Linotype" w:hAnsi="Palatino Linotype"/>
          <w:sz w:val="24"/>
          <w:szCs w:val="24"/>
        </w:rPr>
        <w:t>que se ordenó puede contener</w:t>
      </w:r>
      <w:r w:rsidR="00F01BDD" w:rsidRPr="00C12077">
        <w:rPr>
          <w:rFonts w:ascii="Palatino Linotype" w:hAnsi="Palatino Linotype"/>
          <w:sz w:val="24"/>
          <w:szCs w:val="24"/>
        </w:rPr>
        <w:t xml:space="preserve"> la fotografía</w:t>
      </w:r>
      <w:r w:rsidR="00DF15CF">
        <w:rPr>
          <w:rFonts w:ascii="Palatino Linotype" w:hAnsi="Palatino Linotype"/>
          <w:sz w:val="24"/>
          <w:szCs w:val="24"/>
        </w:rPr>
        <w:t>, ya que se trata de documentos que acrediten el último grado de estudiados, pudiendo ser de manera enunciativa mas no limitativa algún certificado escolar</w:t>
      </w:r>
      <w:r w:rsidR="00F01BDD" w:rsidRPr="00C12077">
        <w:rPr>
          <w:rFonts w:ascii="Palatino Linotype" w:hAnsi="Palatino Linotype"/>
          <w:sz w:val="24"/>
          <w:szCs w:val="24"/>
        </w:rPr>
        <w:t>.</w:t>
      </w:r>
    </w:p>
    <w:p w:rsidR="000B1348"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Es oportuno señalar, que la imagen de una persona tiene la característica de dato personal que cumple con el extremo de la definición legal, ya que no hay otro dato </w:t>
      </w:r>
      <w:r>
        <w:rPr>
          <w:rFonts w:ascii="Palatino Linotype" w:hAnsi="Palatino Linotype"/>
          <w:sz w:val="24"/>
          <w:szCs w:val="24"/>
        </w:rPr>
        <w:lastRenderedPageBreak/>
        <w:t>que identifique con mayor claridad y precisión a una persona que la propia imagen relacionada con su nombre o con cualquier dato que la haga identificable.</w:t>
      </w:r>
    </w:p>
    <w:p w:rsidR="00C12077" w:rsidRDefault="000B1348" w:rsidP="002E589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adición a lo anterior, </w:t>
      </w:r>
      <w:r w:rsidR="00C12077">
        <w:rPr>
          <w:rFonts w:ascii="Palatino Linotype" w:hAnsi="Palatino Linotype"/>
          <w:sz w:val="24"/>
          <w:szCs w:val="24"/>
        </w:rPr>
        <w:t>es importante mencionar, que los datos de servidores públicos</w:t>
      </w:r>
      <w:r w:rsidR="00CF41AE">
        <w:rPr>
          <w:rFonts w:ascii="Palatino Linotype" w:hAnsi="Palatino Linotype"/>
          <w:sz w:val="24"/>
          <w:szCs w:val="24"/>
        </w:rPr>
        <w:t xml:space="preserve"> que obran en</w:t>
      </w:r>
      <w:r w:rsidR="00C12077">
        <w:rPr>
          <w:rFonts w:ascii="Palatino Linotype" w:hAnsi="Palatino Linotype"/>
          <w:sz w:val="24"/>
          <w:szCs w:val="24"/>
        </w:rPr>
        <w:t xml:space="preserve"> documentos</w:t>
      </w:r>
      <w:r w:rsidR="00CF41AE">
        <w:rPr>
          <w:rFonts w:ascii="Palatino Linotype" w:hAnsi="Palatino Linotype"/>
          <w:sz w:val="24"/>
          <w:szCs w:val="24"/>
        </w:rPr>
        <w:t xml:space="preserve"> personales</w:t>
      </w:r>
      <w:r w:rsidR="00C12077">
        <w:rPr>
          <w:rFonts w:ascii="Palatino Linotype" w:hAnsi="Palatino Linotype"/>
          <w:sz w:val="24"/>
          <w:szCs w:val="24"/>
        </w:rPr>
        <w:t xml:space="preserve">, deben clasificarse con carácter de confidencial y ser parte de aquellos </w:t>
      </w:r>
      <w:r w:rsidR="00CF41AE">
        <w:rPr>
          <w:rFonts w:ascii="Palatino Linotype" w:hAnsi="Palatino Linotype"/>
          <w:sz w:val="24"/>
          <w:szCs w:val="24"/>
        </w:rPr>
        <w:t xml:space="preserve">que se encuentran </w:t>
      </w:r>
      <w:r w:rsidR="00C12077">
        <w:rPr>
          <w:rFonts w:ascii="Palatino Linotype" w:hAnsi="Palatino Linotype"/>
          <w:sz w:val="24"/>
          <w:szCs w:val="24"/>
        </w:rPr>
        <w:t>testados en una versión pública, ya que son aspectos propios de la vida privada que no se relacionan con el ejercicio de sus atribuciones, funciones o responsabilidades</w:t>
      </w:r>
      <w:r w:rsidR="006F1764">
        <w:rPr>
          <w:rFonts w:ascii="Palatino Linotype" w:hAnsi="Palatino Linotype"/>
          <w:sz w:val="24"/>
          <w:szCs w:val="24"/>
        </w:rPr>
        <w:t>.</w:t>
      </w:r>
      <w:r w:rsidR="006F1764" w:rsidRPr="006F1764">
        <w:rPr>
          <w:rStyle w:val="Refdenotaalpie"/>
          <w:rFonts w:ascii="Palatino Linotype" w:eastAsia="Calibri" w:hAnsi="Palatino Linotype" w:cs="Arial"/>
          <w:color w:val="000000" w:themeColor="text1"/>
          <w:sz w:val="24"/>
          <w:szCs w:val="24"/>
          <w:lang w:val="es-ES"/>
        </w:rPr>
        <w:t xml:space="preserve"> </w:t>
      </w:r>
      <w:r w:rsidR="006F1764">
        <w:rPr>
          <w:rStyle w:val="Refdenotaalpie"/>
          <w:rFonts w:ascii="Palatino Linotype" w:eastAsia="Calibri" w:hAnsi="Palatino Linotype" w:cs="Arial"/>
          <w:color w:val="000000" w:themeColor="text1"/>
          <w:sz w:val="24"/>
          <w:szCs w:val="24"/>
          <w:lang w:val="es-ES"/>
        </w:rPr>
        <w:footnoteReference w:id="1"/>
      </w:r>
    </w:p>
    <w:p w:rsidR="006F1764" w:rsidRDefault="006F1764"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Abona a lo anterior, los argumentos vertidos en la resolución emitida por la Corte Interamericana de Derechos Humanos de fecha 29 de noviembre de 2011 en el caso </w:t>
      </w:r>
      <w:r w:rsidRPr="006F1764">
        <w:rPr>
          <w:rFonts w:ascii="Palatino Linotype" w:hAnsi="Palatino Linotype" w:cs="Bookman Old Style"/>
          <w:i/>
          <w:sz w:val="24"/>
          <w:szCs w:val="24"/>
        </w:rPr>
        <w:t>“Fontevecchia y D’Amico”</w:t>
      </w:r>
      <w:r>
        <w:rPr>
          <w:rFonts w:ascii="Palatino Linotype" w:hAnsi="Palatino Linotype" w:cs="Bookman Old Style"/>
          <w:sz w:val="24"/>
          <w:szCs w:val="24"/>
        </w:rPr>
        <w:t>, de la cual se rescatan los siguientes:</w:t>
      </w:r>
    </w:p>
    <w:p w:rsidR="006F1764" w:rsidRPr="00DA7071" w:rsidRDefault="006F1764"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Si bien, se establece que el derecho a la propia imagen no se encuentra expresamente enunciado en la Convención, las imágenes o fotografías personales, evidentemente, están incluidas</w:t>
      </w:r>
      <w:r w:rsidR="00DA7071" w:rsidRPr="00DA7071">
        <w:rPr>
          <w:rFonts w:ascii="Palatino Linotype" w:hAnsi="Palatino Linotype" w:cs="Bookman Old Style"/>
          <w:i/>
          <w:sz w:val="24"/>
          <w:szCs w:val="24"/>
        </w:rPr>
        <w:t xml:space="preserve"> dentro del ámbito</w:t>
      </w:r>
      <w:r w:rsidRPr="00DA7071">
        <w:rPr>
          <w:rFonts w:ascii="Palatino Linotype" w:hAnsi="Palatino Linotype" w:cs="Bookman Old Style"/>
          <w:i/>
          <w:sz w:val="24"/>
          <w:szCs w:val="24"/>
        </w:rPr>
        <w:t xml:space="preserve"> de protección de la vida privada.</w:t>
      </w:r>
    </w:p>
    <w:p w:rsidR="00DA7071"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t xml:space="preserve">La fotografía no solo tiene el valor de respaldar o dar credibilidad a informaciones brindadas por medio de la escritura, sino que tiene en sí misma un importante contenido y valor expresivo, comunicativo e informativo; de hecho, en algunos casos, las imágenes pueden comunicar o informar con igual o mayor impacto que la palabra escrita. </w:t>
      </w:r>
    </w:p>
    <w:p w:rsidR="006F1764" w:rsidRPr="00DA7071" w:rsidRDefault="00DA7071" w:rsidP="00DA7071">
      <w:pPr>
        <w:pStyle w:val="Prrafodelista"/>
        <w:numPr>
          <w:ilvl w:val="0"/>
          <w:numId w:val="5"/>
        </w:numPr>
        <w:spacing w:before="100" w:beforeAutospacing="1" w:after="100" w:afterAutospacing="1" w:line="360" w:lineRule="auto"/>
        <w:jc w:val="both"/>
        <w:rPr>
          <w:rFonts w:ascii="Palatino Linotype" w:hAnsi="Palatino Linotype" w:cs="Bookman Old Style"/>
          <w:i/>
          <w:sz w:val="24"/>
          <w:szCs w:val="24"/>
        </w:rPr>
      </w:pPr>
      <w:r w:rsidRPr="00DA7071">
        <w:rPr>
          <w:rFonts w:ascii="Palatino Linotype" w:hAnsi="Palatino Linotype" w:cs="Bookman Old Style"/>
          <w:i/>
          <w:sz w:val="24"/>
          <w:szCs w:val="24"/>
        </w:rPr>
        <w:lastRenderedPageBreak/>
        <w:t>Por ello, su protección cobra importancia en tiempos donde los medios de comunicación audiovisual predominan. Sin embargo, por esa misma razón y por el contenido de información personal e íntima que pueden tener las imágenes, su potencial para afectar la vida privada de una persona es muy alto.</w:t>
      </w:r>
    </w:p>
    <w:p w:rsidR="00DA7071" w:rsidRDefault="00DA7071"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 xml:space="preserve">De los argumentos plasmados, se advierte que si bien la imagen o fotografías de las personas no es un aspecto que esté expresamente protegido por las Convención Internacional, y que derivado del entorno general que se vive, la misma globalización y el intercambio de información por diversos medios, hace que en algunos documentos para dar mayor certidumbre se tenga que cotejar con una fotografía, lo cierto es que como ya se ha planteado </w:t>
      </w:r>
      <w:r w:rsidR="00205EAE">
        <w:rPr>
          <w:rFonts w:ascii="Palatino Linotype" w:hAnsi="Palatino Linotype" w:cs="Bookman Old Style"/>
          <w:sz w:val="24"/>
          <w:szCs w:val="24"/>
        </w:rPr>
        <w:t>el punto toral del presente asunto, se habla de un servidor público en donde las obligaciones de trasparencia se encentran expresas y delimitadas en las leyes aplicables, no se considera que la reproducción de su imagen lo sea, ya que antes de ser servidor público, es una persona con una esfera de derechos privados, de la cual se puede afectar de manera exponencial si se difunde su imagen, que conlleva rasgos físicos.</w:t>
      </w:r>
    </w:p>
    <w:p w:rsidR="008C096B" w:rsidRDefault="008C096B" w:rsidP="004E3E94">
      <w:pPr>
        <w:spacing w:before="100" w:beforeAutospacing="1" w:after="100" w:afterAutospacing="1" w:line="360" w:lineRule="auto"/>
        <w:jc w:val="both"/>
        <w:rPr>
          <w:rFonts w:ascii="Palatino Linotype" w:hAnsi="Palatino Linotype" w:cs="Bookman Old Style"/>
          <w:sz w:val="24"/>
          <w:szCs w:val="24"/>
        </w:rPr>
      </w:pPr>
      <w:r>
        <w:rPr>
          <w:rFonts w:ascii="Palatino Linotype" w:hAnsi="Palatino Linotype" w:cs="Bookman Old Style"/>
          <w:sz w:val="24"/>
          <w:szCs w:val="24"/>
        </w:rPr>
        <w:t>En ese tenor de ideas, es importante mencionar que el derecho a la imagen debe entenderse como parte del derecho a la intimida</w:t>
      </w:r>
      <w:r w:rsidR="00D7719B">
        <w:rPr>
          <w:rFonts w:ascii="Palatino Linotype" w:hAnsi="Palatino Linotype" w:cs="Bookman Old Style"/>
          <w:sz w:val="24"/>
          <w:szCs w:val="24"/>
        </w:rPr>
        <w:t xml:space="preserve">d, y es importante que la persona de su consentimiento, ya que al entregar dicha información, no se sabe el destino de esta, sirve de sustento la Tesis </w:t>
      </w:r>
      <w:r w:rsidR="00D7719B" w:rsidRPr="00D7719B">
        <w:rPr>
          <w:rFonts w:ascii="Palatino Linotype" w:hAnsi="Palatino Linotype" w:cs="Bookman Old Style"/>
          <w:sz w:val="24"/>
          <w:szCs w:val="24"/>
        </w:rPr>
        <w:t>2a. XXV/2016 (10a.), Registro: 2011892</w:t>
      </w:r>
      <w:r w:rsidR="00D7719B">
        <w:rPr>
          <w:rFonts w:ascii="Palatino Linotype" w:hAnsi="Palatino Linotype" w:cs="Bookman Old Style"/>
          <w:sz w:val="24"/>
          <w:szCs w:val="24"/>
        </w:rPr>
        <w:t>, emitida por la Suprema Corte de Justicia de la Nación que dice lo siguiente:</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b/>
          <w:i/>
          <w:szCs w:val="24"/>
        </w:rPr>
      </w:pPr>
      <w:r>
        <w:rPr>
          <w:rFonts w:ascii="Palatino Linotype" w:hAnsi="Palatino Linotype" w:cs="Bookman Old Style"/>
          <w:b/>
          <w:i/>
          <w:szCs w:val="24"/>
        </w:rPr>
        <w:lastRenderedPageBreak/>
        <w:t>“</w:t>
      </w:r>
      <w:r w:rsidRPr="00D7719B">
        <w:rPr>
          <w:rFonts w:ascii="Palatino Linotype" w:hAnsi="Palatino Linotype" w:cs="Bookman Old Style"/>
          <w:b/>
          <w:i/>
          <w:szCs w:val="24"/>
        </w:rPr>
        <w:t>DERECHO A LA IMAGEN. SU CONCEPTO DE ACUERDO A LA LEY FEDERAL DEL DERECHO DE AUTOR.</w:t>
      </w:r>
    </w:p>
    <w:p w:rsidR="00D7719B" w:rsidRPr="00D7719B" w:rsidRDefault="00D7719B" w:rsidP="00D7719B">
      <w:pPr>
        <w:spacing w:before="100" w:beforeAutospacing="1" w:after="100" w:afterAutospacing="1" w:line="240" w:lineRule="auto"/>
        <w:ind w:left="851" w:right="851"/>
        <w:jc w:val="both"/>
        <w:rPr>
          <w:rFonts w:ascii="Palatino Linotype" w:hAnsi="Palatino Linotype" w:cs="Bookman Old Style"/>
          <w:i/>
          <w:szCs w:val="24"/>
        </w:rPr>
      </w:pPr>
      <w:r w:rsidRPr="00D7719B">
        <w:rPr>
          <w:rFonts w:ascii="Palatino Linotype" w:hAnsi="Palatino Linotype" w:cs="Bookman Old Style"/>
          <w:i/>
          <w:szCs w:val="24"/>
        </w:rPr>
        <w:t>El derecho a la imagen debe entenderse como parte del derecho a la identidad, y como un derecho personalísimo que tiene todo individuo de decidir cómo se muestra a los demás, esto es, la potestad de disponer en el ámbito de su propia autoridad y en forma libre sobre su propia imagen. En ese orden de ideas, el concepto de derecho a la imagen previsto en el artículo 231, fracción II, de la Ley Federal del Derecho de Autor, se instauró como una limitante que tiene el autor de una obra fotográfica, en el sentido de que podrá comercializar con ella siempre y cuando la persona que aparezca en ésta otorgue su consentimiento para ello.</w:t>
      </w:r>
      <w:r>
        <w:rPr>
          <w:rFonts w:ascii="Palatino Linotype" w:hAnsi="Palatino Linotype" w:cs="Bookman Old Style"/>
          <w:i/>
          <w:szCs w:val="24"/>
        </w:rPr>
        <w:t>”</w:t>
      </w:r>
    </w:p>
    <w:p w:rsidR="00205EAE" w:rsidRDefault="00205EAE" w:rsidP="004E3E94">
      <w:pPr>
        <w:spacing w:before="100" w:beforeAutospacing="1" w:after="100" w:afterAutospacing="1" w:line="360" w:lineRule="auto"/>
        <w:jc w:val="both"/>
        <w:rPr>
          <w:rFonts w:ascii="Palatino Linotype" w:hAnsi="Palatino Linotype" w:cs="Bookman Old Style"/>
          <w:sz w:val="24"/>
          <w:szCs w:val="24"/>
        </w:rPr>
      </w:pPr>
      <w:r w:rsidRPr="00DF15CF">
        <w:rPr>
          <w:rFonts w:ascii="Palatino Linotype" w:hAnsi="Palatino Linotype" w:cs="Bookman Old Style"/>
          <w:sz w:val="24"/>
          <w:szCs w:val="24"/>
        </w:rPr>
        <w:t xml:space="preserve">Cabe aclarar que cuando se trata de un servidor o funcionario público, en donde su imagen, derivado de su responsabilidad y encargo, es </w:t>
      </w:r>
      <w:r w:rsidRPr="00DF15CF">
        <w:rPr>
          <w:rFonts w:ascii="Palatino Linotype" w:hAnsi="Palatino Linotype" w:cs="Bookman Old Style"/>
          <w:i/>
          <w:sz w:val="24"/>
          <w:szCs w:val="24"/>
        </w:rPr>
        <w:t>per se</w:t>
      </w:r>
      <w:r w:rsidRPr="00DF15CF">
        <w:rPr>
          <w:rFonts w:ascii="Palatino Linotype" w:hAnsi="Palatino Linotype" w:cs="Bookman Old Style"/>
          <w:sz w:val="24"/>
          <w:szCs w:val="24"/>
        </w:rPr>
        <w:t xml:space="preserve"> pública, no se considera un daño ya que el contexto en el que se desempeña es distinto, no así cuando se habla de un servidor público que ostenta un rango menor.</w:t>
      </w:r>
    </w:p>
    <w:p w:rsidR="004E3E94" w:rsidRPr="004E3E94" w:rsidRDefault="004E3E94" w:rsidP="00BF0F61">
      <w:pPr>
        <w:spacing w:before="100" w:beforeAutospacing="1" w:after="100" w:afterAutospacing="1" w:line="360" w:lineRule="auto"/>
        <w:jc w:val="both"/>
        <w:rPr>
          <w:rFonts w:ascii="Palatino Linotype" w:hAnsi="Palatino Linotype" w:cs="Bookman Old Style"/>
          <w:sz w:val="24"/>
          <w:szCs w:val="24"/>
        </w:rPr>
      </w:pPr>
      <w:r w:rsidRPr="004E3E94">
        <w:rPr>
          <w:rFonts w:ascii="Palatino Linotype" w:hAnsi="Palatino Linotype" w:cs="Bookman Old Style"/>
          <w:sz w:val="24"/>
          <w:szCs w:val="24"/>
        </w:rPr>
        <w:t>Es por ello que</w:t>
      </w:r>
      <w:r w:rsidR="00F01BDD">
        <w:rPr>
          <w:rFonts w:ascii="Palatino Linotype" w:hAnsi="Palatino Linotype" w:cs="Bookman Old Style"/>
          <w:sz w:val="24"/>
          <w:szCs w:val="24"/>
        </w:rPr>
        <w:t>,</w:t>
      </w:r>
      <w:r w:rsidRPr="004E3E94">
        <w:rPr>
          <w:rFonts w:ascii="Palatino Linotype" w:hAnsi="Palatino Linotype" w:cs="Bookman Old Style"/>
          <w:sz w:val="24"/>
          <w:szCs w:val="24"/>
        </w:rPr>
        <w:t xml:space="preserve"> el que suscribe </w:t>
      </w:r>
      <w:r w:rsidR="00DF15CF">
        <w:rPr>
          <w:rFonts w:ascii="Palatino Linotype" w:hAnsi="Palatino Linotype" w:cs="Bookman Old Style"/>
          <w:sz w:val="24"/>
          <w:szCs w:val="24"/>
        </w:rPr>
        <w:t>h</w:t>
      </w:r>
      <w:r w:rsidRPr="004E3E94">
        <w:rPr>
          <w:rFonts w:ascii="Palatino Linotype" w:hAnsi="Palatino Linotype" w:cs="Bookman Old Style"/>
          <w:sz w:val="24"/>
          <w:szCs w:val="24"/>
        </w:rPr>
        <w:t>a sostenido reiteradamente que la fotografía</w:t>
      </w:r>
      <w:r>
        <w:rPr>
          <w:rFonts w:ascii="Palatino Linotype" w:hAnsi="Palatino Linotype" w:cs="Bookman Old Style"/>
          <w:sz w:val="24"/>
          <w:szCs w:val="24"/>
        </w:rPr>
        <w:t>, es un dato confidencial</w:t>
      </w:r>
      <w:r w:rsidRPr="004E3E94">
        <w:rPr>
          <w:rFonts w:ascii="Palatino Linotype" w:hAnsi="Palatino Linotype" w:cs="Bookman Old Style"/>
          <w:sz w:val="24"/>
          <w:szCs w:val="24"/>
        </w:rPr>
        <w:t>, lo anterior es evidente en atención a que hace identificable a la persona, por lo que son  susceptibles de ser testados con el objeto de protegerlos, en términos del artículo 4 fracción XI de la Ley de Protección de Datos Personales en Posesión de Sujetos Obligados del Estado de México y Municipios que contiene lo siguiente:</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b/>
          <w:i/>
          <w:sz w:val="20"/>
        </w:rPr>
        <w:t>“Artículo 4</w:t>
      </w:r>
      <w:r w:rsidRPr="001F0720">
        <w:rPr>
          <w:rFonts w:ascii="Palatino Linotype" w:hAnsi="Palatino Linotype" w:cs="Bookman Old Style"/>
          <w:i/>
          <w:sz w:val="20"/>
        </w:rPr>
        <w:t xml:space="preserve">.- Para los efectos de esta Ley se entiende por: </w:t>
      </w:r>
    </w:p>
    <w:p w:rsidR="004E3E94" w:rsidRPr="001F0720" w:rsidRDefault="004E3E94" w:rsidP="004E3E94">
      <w:pPr>
        <w:spacing w:after="0" w:line="360" w:lineRule="auto"/>
        <w:ind w:left="851" w:right="990"/>
        <w:jc w:val="both"/>
        <w:rPr>
          <w:rFonts w:ascii="Palatino Linotype" w:hAnsi="Palatino Linotype" w:cs="Bookman Old Style"/>
          <w:i/>
          <w:sz w:val="20"/>
        </w:rPr>
      </w:pPr>
      <w:r w:rsidRPr="001F0720">
        <w:rPr>
          <w:rFonts w:ascii="Palatino Linotype" w:hAnsi="Palatino Linotype" w:cs="Bookman Old Style"/>
          <w:i/>
          <w:sz w:val="20"/>
        </w:rPr>
        <w:t>(…)</w:t>
      </w:r>
    </w:p>
    <w:p w:rsidR="004E3E94" w:rsidRPr="004E3E94" w:rsidRDefault="004E3E94" w:rsidP="004E3E94">
      <w:pPr>
        <w:spacing w:after="0" w:line="360" w:lineRule="auto"/>
        <w:ind w:left="851" w:right="990"/>
        <w:jc w:val="both"/>
        <w:rPr>
          <w:rFonts w:ascii="Palatino Linotype" w:hAnsi="Palatino Linotype" w:cs="Bookman Old Style"/>
          <w:b/>
          <w:i/>
          <w:sz w:val="20"/>
        </w:rPr>
      </w:pPr>
      <w:r w:rsidRPr="001F0720">
        <w:rPr>
          <w:rFonts w:ascii="Palatino Linotype" w:hAnsi="Palatino Linotype" w:cs="Bookman Old Style"/>
          <w:b/>
          <w:i/>
          <w:sz w:val="20"/>
        </w:rPr>
        <w:t xml:space="preserve">XI. Datos personales: </w:t>
      </w:r>
      <w:r w:rsidRPr="001F0720">
        <w:rPr>
          <w:rFonts w:ascii="Palatino Linotype" w:hAnsi="Palatino Linotype" w:cs="Bookman Old Style"/>
          <w:i/>
          <w:sz w:val="20"/>
        </w:rPr>
        <w:t xml:space="preserve">a la información concerniente a una persona física o jurídica colectiva identificada o identificable, establecida en cualquier formato o modalidad, y que esté almacenada en los sistemas y bases de datos, se considerará que una persona es </w:t>
      </w:r>
      <w:r w:rsidRPr="001F0720">
        <w:rPr>
          <w:rFonts w:ascii="Palatino Linotype" w:hAnsi="Palatino Linotype" w:cs="Bookman Old Style"/>
          <w:i/>
          <w:sz w:val="20"/>
        </w:rPr>
        <w:lastRenderedPageBreak/>
        <w:t>identificable cuando su identidad pueda determinarse directa o indirectamente a través de cualquier documento informativo físico o electrónico.</w:t>
      </w:r>
      <w:r w:rsidRPr="001F0720">
        <w:rPr>
          <w:rFonts w:ascii="Palatino Linotype" w:hAnsi="Palatino Linotype" w:cs="Bookman Old Style"/>
          <w:b/>
          <w:i/>
          <w:sz w:val="20"/>
        </w:rPr>
        <w:t xml:space="preserve"> </w:t>
      </w:r>
      <w:r w:rsidRPr="001F0720">
        <w:rPr>
          <w:rFonts w:ascii="Palatino Linotype" w:hAnsi="Palatino Linotype" w:cs="Bookman Old Style"/>
          <w:i/>
          <w:sz w:val="20"/>
        </w:rPr>
        <w:t>(…)“</w:t>
      </w:r>
    </w:p>
    <w:p w:rsidR="008633C2"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lang w:val="es-ES"/>
        </w:rPr>
      </w:pPr>
      <w:r>
        <w:rPr>
          <w:rFonts w:ascii="Palatino Linotype" w:eastAsia="Times New Roman" w:hAnsi="Palatino Linotype" w:cs="Arial"/>
          <w:sz w:val="24"/>
          <w:szCs w:val="24"/>
          <w:lang w:val="es-ES" w:eastAsia="es-ES"/>
        </w:rPr>
        <w:t xml:space="preserve">En efecto, la fotografía, </w:t>
      </w:r>
      <w:r w:rsidRPr="004E3E94">
        <w:rPr>
          <w:rFonts w:ascii="Palatino Linotype" w:eastAsia="Times New Roman" w:hAnsi="Palatino Linotype" w:cs="Arial"/>
          <w:sz w:val="24"/>
          <w:szCs w:val="24"/>
          <w:lang w:val="es-ES" w:eastAsia="es-ES"/>
        </w:rPr>
        <w:t>es susceptible de ser testada, en atención a que se</w:t>
      </w:r>
      <w:r w:rsidRPr="004E3E94">
        <w:rPr>
          <w:rFonts w:ascii="Palatino Linotype" w:eastAsia="Calibri" w:hAnsi="Palatino Linotype" w:cs="Arial"/>
          <w:color w:val="000000" w:themeColor="text1"/>
          <w:sz w:val="24"/>
          <w:szCs w:val="24"/>
          <w:lang w:val="es-ES"/>
        </w:rPr>
        <w:t xml:space="preserve"> estaría violentando entre otros el derecho a la propia imagen que tiene </w:t>
      </w:r>
      <w:r>
        <w:rPr>
          <w:rFonts w:ascii="Palatino Linotype" w:eastAsia="Calibri" w:hAnsi="Palatino Linotype" w:cs="Arial"/>
          <w:color w:val="000000" w:themeColor="text1"/>
          <w:sz w:val="24"/>
          <w:szCs w:val="24"/>
          <w:lang w:val="es-ES"/>
        </w:rPr>
        <w:t xml:space="preserve">dicha persona, entendiendo éste, como </w:t>
      </w:r>
      <w:r w:rsidRPr="004E3E94">
        <w:rPr>
          <w:rFonts w:ascii="Palatino Linotype" w:eastAsia="Calibri" w:hAnsi="Palatino Linotype" w:cs="Arial"/>
          <w:color w:val="000000" w:themeColor="text1"/>
          <w:sz w:val="24"/>
          <w:szCs w:val="24"/>
          <w:lang w:val="es-ES"/>
        </w:rPr>
        <w:t>un derecho subjetivo y personal exigible frente a todos, particulares</w:t>
      </w:r>
      <w:r w:rsidR="00DF15CF">
        <w:rPr>
          <w:rFonts w:ascii="Palatino Linotype" w:eastAsia="Calibri" w:hAnsi="Palatino Linotype" w:cs="Arial"/>
          <w:color w:val="000000" w:themeColor="text1"/>
          <w:sz w:val="24"/>
          <w:szCs w:val="24"/>
          <w:lang w:val="es-ES"/>
        </w:rPr>
        <w:t xml:space="preserve"> y poderes públicos, que otorgan</w:t>
      </w:r>
      <w:r w:rsidRPr="004E3E94">
        <w:rPr>
          <w:rFonts w:ascii="Palatino Linotype" w:eastAsia="Calibri" w:hAnsi="Palatino Linotype" w:cs="Arial"/>
          <w:color w:val="000000" w:themeColor="text1"/>
          <w:sz w:val="24"/>
          <w:szCs w:val="24"/>
          <w:lang w:val="es-ES"/>
        </w:rPr>
        <w:t xml:space="preserve"> a su titular la facultad de decidir todo lo relativo a la captación, reproducción o publicación de su imagen; debido a que constituyen la reproducción fiel de las características físicas de una persona en un momento determinado, por lo que representan un instrumento de identificación, proyección exterior y factor imprescindible para su propio reconoc</w:t>
      </w:r>
      <w:r w:rsidR="00C12077">
        <w:rPr>
          <w:rFonts w:ascii="Palatino Linotype" w:eastAsia="Calibri" w:hAnsi="Palatino Linotype" w:cs="Arial"/>
          <w:color w:val="000000" w:themeColor="text1"/>
          <w:sz w:val="24"/>
          <w:szCs w:val="24"/>
          <w:lang w:val="es-ES"/>
        </w:rPr>
        <w:t>imiento como sujeto individual.</w:t>
      </w:r>
    </w:p>
    <w:p w:rsidR="004E3E94" w:rsidRPr="004E3E94" w:rsidRDefault="004E3E94" w:rsidP="004E3E94">
      <w:pPr>
        <w:spacing w:before="100" w:beforeAutospacing="1" w:after="100" w:afterAutospacing="1" w:line="360" w:lineRule="auto"/>
        <w:ind w:right="-3"/>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t xml:space="preserve">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la fotografía solo se justifica su publicidad en aquellos casos en los que la misma se reproduce a fin de identificar a una persona en el ejercicio de un cargo, empleo o </w:t>
      </w:r>
      <w:r>
        <w:rPr>
          <w:rFonts w:ascii="Palatino Linotype" w:eastAsia="Calibri" w:hAnsi="Palatino Linotype" w:cs="Arial"/>
          <w:color w:val="000000" w:themeColor="text1"/>
          <w:sz w:val="24"/>
          <w:szCs w:val="24"/>
          <w:lang w:val="es-ES"/>
        </w:rPr>
        <w:t>comisión en el servicio público, no así en otros escenarios.</w:t>
      </w:r>
    </w:p>
    <w:p w:rsidR="004E3E94" w:rsidRPr="004E3E94" w:rsidRDefault="004E3E94" w:rsidP="004E3E94">
      <w:pPr>
        <w:spacing w:before="240" w:after="240" w:line="360" w:lineRule="auto"/>
        <w:jc w:val="both"/>
        <w:rPr>
          <w:rFonts w:ascii="Palatino Linotype" w:eastAsia="Calibri" w:hAnsi="Palatino Linotype" w:cs="Arial"/>
          <w:color w:val="000000" w:themeColor="text1"/>
          <w:sz w:val="24"/>
          <w:szCs w:val="24"/>
        </w:rPr>
      </w:pPr>
      <w:r w:rsidRPr="004E3E94">
        <w:rPr>
          <w:rFonts w:ascii="Palatino Linotype" w:eastAsia="Calibri" w:hAnsi="Palatino Linotype" w:cs="Arial"/>
          <w:color w:val="000000" w:themeColor="text1"/>
          <w:sz w:val="24"/>
          <w:szCs w:val="24"/>
          <w:lang w:val="es-ES"/>
        </w:rPr>
        <w:lastRenderedPageBreak/>
        <w:t>Sirve de sustento el criterio 5/9 del entonces Instituto Federal de Acceso a la Información y Protección de Datos (IFAI), ahora INAI, en el sentido de que la fotografía de servidores públicos en un dato personal confidencial:</w:t>
      </w:r>
    </w:p>
    <w:p w:rsidR="008633C2" w:rsidRPr="00F01BDD" w:rsidRDefault="004E3E94" w:rsidP="00F01BDD">
      <w:pPr>
        <w:spacing w:before="240" w:after="240" w:line="276" w:lineRule="auto"/>
        <w:ind w:left="851" w:right="851"/>
        <w:jc w:val="both"/>
        <w:rPr>
          <w:rFonts w:ascii="Palatino Linotype" w:eastAsia="Calibri" w:hAnsi="Palatino Linotype" w:cs="Arial"/>
          <w:color w:val="000000" w:themeColor="text1"/>
          <w:sz w:val="20"/>
          <w:szCs w:val="24"/>
        </w:rPr>
      </w:pPr>
      <w:r w:rsidRPr="001F0720">
        <w:rPr>
          <w:rFonts w:ascii="Palatino Linotype" w:eastAsia="Calibri" w:hAnsi="Palatino Linotype" w:cs="Arial"/>
          <w:b/>
          <w:bCs/>
          <w:i/>
          <w:iCs/>
          <w:color w:val="000000" w:themeColor="text1"/>
          <w:sz w:val="20"/>
          <w:szCs w:val="24"/>
          <w:lang w:val="es-ES"/>
        </w:rPr>
        <w:t>“FOTOGRAFÍA DE SERVIDORES PÚBLICOS ES UN DATO PERSONAL CONFIDENCIAL. </w:t>
      </w:r>
      <w:r w:rsidRPr="001F0720">
        <w:rPr>
          <w:rFonts w:ascii="Palatino Linotype" w:eastAsia="Calibri" w:hAnsi="Palatino Linotype" w:cs="Arial"/>
          <w:i/>
          <w:iCs/>
          <w:color w:val="000000" w:themeColor="text1"/>
          <w:sz w:val="20"/>
          <w:szCs w:val="24"/>
          <w:lang w:val="es-ES"/>
        </w:rPr>
        <w:t>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p w:rsidR="004E3E94" w:rsidRPr="00F01BDD" w:rsidRDefault="004E3E94" w:rsidP="002E5896">
      <w:pPr>
        <w:spacing w:before="240" w:after="240" w:line="360" w:lineRule="auto"/>
        <w:jc w:val="both"/>
        <w:rPr>
          <w:rFonts w:ascii="Palatino Linotype" w:eastAsia="Calibri" w:hAnsi="Palatino Linotype" w:cs="Arial"/>
          <w:color w:val="000000" w:themeColor="text1"/>
          <w:sz w:val="24"/>
          <w:szCs w:val="24"/>
        </w:rPr>
      </w:pPr>
      <w:r w:rsidRPr="000B1348">
        <w:rPr>
          <w:rFonts w:ascii="Palatino Linotype" w:eastAsia="Calibri" w:hAnsi="Palatino Linotype" w:cs="Arial"/>
          <w:color w:val="000000" w:themeColor="text1"/>
          <w:sz w:val="24"/>
          <w:szCs w:val="24"/>
          <w:lang w:val="es-ES"/>
        </w:rPr>
        <w:t>Bajo esta tesitura, se precisa que la fotografía, es un dato personal que debe ser protegido, ya que no contribuye de manera sustancial al derecho de acceso a la información pública, a la trasparencia ni rendición de cuentas, al contrario dicho derecho, tiene una limitante al invadir la esfera jurídica personal y particular de las personas aun y cuando son servidores públicos.</w:t>
      </w:r>
    </w:p>
    <w:p w:rsidR="002E5896" w:rsidRPr="002E5896" w:rsidRDefault="002E5896" w:rsidP="002E5896">
      <w:pPr>
        <w:spacing w:before="240" w:after="240" w:line="360" w:lineRule="auto"/>
        <w:jc w:val="both"/>
        <w:rPr>
          <w:rFonts w:ascii="Palatino Linotype" w:hAnsi="Palatino Linotype"/>
          <w:sz w:val="24"/>
          <w:szCs w:val="24"/>
        </w:rPr>
      </w:pPr>
      <w:r w:rsidRPr="002E5896">
        <w:rPr>
          <w:rFonts w:ascii="Palatino Linotype" w:hAnsi="Palatino Linotype"/>
          <w:sz w:val="24"/>
          <w:szCs w:val="24"/>
        </w:rPr>
        <w:t xml:space="preserve">En este sentido, de acuerdo al artículo 116 de la Ley General de Trasparencia, debe ser clasificado, por regla general, como confidencial, asimismo en el artículo 143 de </w:t>
      </w:r>
      <w:r w:rsidRPr="002E5896">
        <w:rPr>
          <w:rFonts w:ascii="Palatino Linotype" w:hAnsi="Palatino Linotype"/>
          <w:sz w:val="24"/>
          <w:szCs w:val="24"/>
        </w:rPr>
        <w:lastRenderedPageBreak/>
        <w:t xml:space="preserve">la Ley de Transparencia y acceso a la Información Pública del Estado de México y Municipios.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r w:rsidRPr="002E5896">
        <w:rPr>
          <w:rFonts w:ascii="Palatino Linotype" w:hAnsi="Palatino Linotype"/>
          <w:b/>
          <w:i/>
        </w:rPr>
        <w:t>Artículo 116</w:t>
      </w:r>
      <w:r w:rsidRPr="002E5896">
        <w:rPr>
          <w:rFonts w:ascii="Palatino Linotype" w:hAnsi="Palatino Linotype"/>
          <w:i/>
        </w:rPr>
        <w:t>. Se considera información confidencial la que contiene datos personales concernientes a una persona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r w:rsidRPr="002E5896">
        <w:rPr>
          <w:rFonts w:ascii="Palatino Linotype" w:hAnsi="Palatino Linotype"/>
          <w:b/>
          <w:i/>
        </w:rPr>
        <w:t>Artículo 143</w:t>
      </w:r>
      <w:r w:rsidRPr="002E5896">
        <w:rPr>
          <w:rFonts w:ascii="Palatino Linotype" w:hAnsi="Palatino Linotype"/>
          <w:i/>
        </w:rPr>
        <w:t xml:space="preserve">.- Para los efectos de esta ley se considera información confidencial la clasificada como tal, de manera permanente por su naturaleza cuando: </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Se refiera a la información privada y los datos personales concernientes a una persona física o jurídico colectiva identificada o identificable.</w:t>
      </w:r>
    </w:p>
    <w:p w:rsidR="002E5896" w:rsidRPr="002E5896" w:rsidRDefault="002E5896" w:rsidP="002E5896">
      <w:pPr>
        <w:spacing w:before="240" w:after="240" w:line="240" w:lineRule="auto"/>
        <w:ind w:left="851" w:right="990"/>
        <w:jc w:val="both"/>
        <w:rPr>
          <w:rFonts w:ascii="Palatino Linotype" w:hAnsi="Palatino Linotype"/>
          <w:i/>
        </w:rPr>
      </w:pPr>
      <w:r w:rsidRPr="002E5896">
        <w:rPr>
          <w:rFonts w:ascii="Palatino Linotype" w:hAnsi="Palatino Linotype"/>
          <w:i/>
        </w:rPr>
        <w:t>…”</w:t>
      </w:r>
    </w:p>
    <w:p w:rsidR="002E5896" w:rsidRPr="008633C2" w:rsidRDefault="002E5896" w:rsidP="008633C2">
      <w:pPr>
        <w:spacing w:before="240" w:after="240" w:line="360" w:lineRule="auto"/>
        <w:jc w:val="both"/>
        <w:rPr>
          <w:rFonts w:ascii="Palatino Linotype" w:hAnsi="Palatino Linotype"/>
          <w:sz w:val="24"/>
          <w:szCs w:val="24"/>
        </w:rPr>
      </w:pPr>
      <w:r w:rsidRPr="002E5896">
        <w:rPr>
          <w:rFonts w:ascii="Palatino Linotype" w:hAnsi="Palatino Linotype"/>
          <w:sz w:val="24"/>
          <w:szCs w:val="24"/>
        </w:rPr>
        <w:t>Situación por lo que debe considerarse información confidencial en términos de los artículos 143, fracción I de la Ley de Transparencia del Estado de México y Municipios y 4, fracciones VII y VIII de la Ley de Protección de Datos Personales del Estado de México.</w:t>
      </w:r>
    </w:p>
    <w:p w:rsidR="00227985" w:rsidRPr="008633C2" w:rsidRDefault="00227985" w:rsidP="00227985">
      <w:pPr>
        <w:spacing w:before="240" w:after="0" w:line="360" w:lineRule="auto"/>
        <w:jc w:val="both"/>
        <w:rPr>
          <w:rFonts w:ascii="Palatino Linotype" w:hAnsi="Palatino Linotype" w:cs="Arial"/>
          <w:sz w:val="24"/>
          <w:szCs w:val="24"/>
        </w:rPr>
      </w:pPr>
      <w:r w:rsidRPr="008633C2">
        <w:rPr>
          <w:rFonts w:ascii="Palatino Linotype" w:hAnsi="Palatino Linotype" w:cs="Arial"/>
          <w:sz w:val="24"/>
          <w:szCs w:val="24"/>
        </w:rPr>
        <w:t xml:space="preserve">Por todo lo expuesto es que formulo el presente voto particular, en los términos precisados, teniendo las consideraciones aquí expuestas hubieran resultado importantes para </w:t>
      </w:r>
      <w:r w:rsidR="00E555F0" w:rsidRPr="008633C2">
        <w:rPr>
          <w:rFonts w:ascii="Palatino Linotype" w:hAnsi="Palatino Linotype" w:cs="Arial"/>
          <w:sz w:val="24"/>
          <w:szCs w:val="24"/>
        </w:rPr>
        <w:t>resolver el recurso de revisión.</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1F0720" w:rsidTr="00C50BB6">
        <w:trPr>
          <w:trHeight w:val="809"/>
          <w:jc w:val="center"/>
        </w:trPr>
        <w:tc>
          <w:tcPr>
            <w:tcW w:w="4396" w:type="dxa"/>
          </w:tcPr>
          <w:p w:rsidR="00227985" w:rsidRPr="0087546B" w:rsidRDefault="00227985"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p>
          <w:p w:rsidR="001F0720" w:rsidRPr="0087546B" w:rsidRDefault="001F0720" w:rsidP="00DF15CF">
            <w:pPr>
              <w:rPr>
                <w:rFonts w:ascii="Palatino Linotype" w:hAnsi="Palatino Linotype"/>
                <w:b/>
                <w:sz w:val="24"/>
                <w:szCs w:val="24"/>
              </w:rPr>
            </w:pPr>
            <w:bookmarkStart w:id="0" w:name="_GoBack"/>
            <w:bookmarkEnd w:id="0"/>
          </w:p>
          <w:p w:rsidR="001F0720" w:rsidRPr="0087546B" w:rsidRDefault="001F0720" w:rsidP="00C50BB6">
            <w:pPr>
              <w:jc w:val="center"/>
              <w:rPr>
                <w:rFonts w:ascii="Palatino Linotype" w:hAnsi="Palatino Linotype"/>
                <w:b/>
                <w:sz w:val="24"/>
                <w:szCs w:val="24"/>
              </w:rPr>
            </w:pPr>
          </w:p>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Javier Martínez Cruz</w:t>
            </w:r>
          </w:p>
        </w:tc>
      </w:tr>
      <w:tr w:rsidR="00227985" w:rsidRPr="001F0720" w:rsidTr="00C50BB6">
        <w:trPr>
          <w:trHeight w:val="319"/>
          <w:jc w:val="center"/>
        </w:trPr>
        <w:tc>
          <w:tcPr>
            <w:tcW w:w="4396" w:type="dxa"/>
          </w:tcPr>
          <w:p w:rsidR="00227985" w:rsidRPr="0087546B" w:rsidRDefault="00227985" w:rsidP="00C50BB6">
            <w:pPr>
              <w:jc w:val="center"/>
              <w:rPr>
                <w:rFonts w:ascii="Palatino Linotype" w:hAnsi="Palatino Linotype"/>
                <w:b/>
                <w:sz w:val="24"/>
                <w:szCs w:val="24"/>
              </w:rPr>
            </w:pPr>
            <w:r w:rsidRPr="0087546B">
              <w:rPr>
                <w:rFonts w:ascii="Palatino Linotype" w:hAnsi="Palatino Linotype"/>
                <w:b/>
                <w:sz w:val="24"/>
                <w:szCs w:val="24"/>
              </w:rPr>
              <w:t>Comisionado</w:t>
            </w:r>
          </w:p>
          <w:p w:rsidR="00DF658A" w:rsidRPr="0087546B" w:rsidRDefault="008633C2" w:rsidP="00C50BB6">
            <w:pPr>
              <w:jc w:val="center"/>
              <w:rPr>
                <w:rFonts w:ascii="Palatino Linotype" w:hAnsi="Palatino Linotype"/>
                <w:b/>
                <w:sz w:val="24"/>
                <w:szCs w:val="24"/>
              </w:rPr>
            </w:pPr>
            <w:r w:rsidRPr="0087546B">
              <w:rPr>
                <w:rFonts w:ascii="Palatino Linotype" w:hAnsi="Palatino Linotype"/>
                <w:b/>
                <w:sz w:val="24"/>
                <w:szCs w:val="24"/>
              </w:rPr>
              <w:t>(Rúbrica)</w:t>
            </w:r>
          </w:p>
          <w:p w:rsidR="00227985" w:rsidRPr="0087546B" w:rsidRDefault="00227985" w:rsidP="0059780A">
            <w:pPr>
              <w:rPr>
                <w:rFonts w:ascii="Palatino Linotype" w:hAnsi="Palatino Linotype"/>
                <w:sz w:val="24"/>
                <w:szCs w:val="24"/>
              </w:rPr>
            </w:pPr>
          </w:p>
        </w:tc>
      </w:tr>
    </w:tbl>
    <w:p w:rsidR="00247AFA" w:rsidRPr="001F0720" w:rsidRDefault="00247AFA" w:rsidP="0059780A">
      <w:pPr>
        <w:rPr>
          <w:szCs w:val="24"/>
        </w:rPr>
      </w:pPr>
    </w:p>
    <w:sectPr w:rsidR="00247AFA" w:rsidRPr="001F072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81A" w:rsidRDefault="0058781A" w:rsidP="00247AFA">
      <w:pPr>
        <w:spacing w:after="0" w:line="240" w:lineRule="auto"/>
      </w:pPr>
      <w:r>
        <w:separator/>
      </w:r>
    </w:p>
  </w:endnote>
  <w:endnote w:type="continuationSeparator" w:id="0">
    <w:p w:rsidR="0058781A" w:rsidRDefault="0058781A"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EE431A">
      <w:rPr>
        <w:rFonts w:ascii="Arial" w:eastAsia="Calibri" w:hAnsi="Arial" w:cs="Arial"/>
        <w:b/>
        <w:bCs/>
        <w:noProof/>
        <w:sz w:val="20"/>
        <w:szCs w:val="20"/>
        <w:lang w:val="es-ES" w:eastAsia="es-ES"/>
      </w:rPr>
      <w:t>8</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EE431A">
      <w:rPr>
        <w:rFonts w:ascii="Arial" w:eastAsia="Calibri" w:hAnsi="Arial" w:cs="Arial"/>
        <w:b/>
        <w:bCs/>
        <w:noProof/>
        <w:sz w:val="20"/>
        <w:szCs w:val="20"/>
        <w:lang w:val="es-ES" w:eastAsia="es-ES"/>
      </w:rPr>
      <w:t>8</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81A" w:rsidRDefault="0058781A" w:rsidP="00247AFA">
      <w:pPr>
        <w:spacing w:after="0" w:line="240" w:lineRule="auto"/>
      </w:pPr>
      <w:r>
        <w:separator/>
      </w:r>
    </w:p>
  </w:footnote>
  <w:footnote w:type="continuationSeparator" w:id="0">
    <w:p w:rsidR="0058781A" w:rsidRDefault="0058781A" w:rsidP="00247AFA">
      <w:pPr>
        <w:spacing w:after="0" w:line="240" w:lineRule="auto"/>
      </w:pPr>
      <w:r>
        <w:continuationSeparator/>
      </w:r>
    </w:p>
  </w:footnote>
  <w:footnote w:id="1">
    <w:p w:rsidR="006F1764" w:rsidRDefault="006F1764" w:rsidP="006F1764">
      <w:pPr>
        <w:pStyle w:val="Textonotapie"/>
        <w:jc w:val="both"/>
      </w:pPr>
      <w:r>
        <w:rPr>
          <w:rStyle w:val="Refdenotaalpie"/>
        </w:rPr>
        <w:footnoteRef/>
      </w:r>
      <w:r>
        <w:t xml:space="preserve"> </w:t>
      </w:r>
      <w:r w:rsidRPr="00CF41AE">
        <w:rPr>
          <w:rFonts w:ascii="Palatino Linotype" w:hAnsi="Palatino Linotype"/>
          <w:sz w:val="18"/>
        </w:rPr>
        <w:t>Información consultable en la Resolución 0689/17 emitida por el Instituto Nacional de Transparencia, Acceso a la Información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58781A"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142683">
      <w:rPr>
        <w:rFonts w:ascii="Palatino Linotype" w:hAnsi="Palatino Linotype" w:cs="Arial"/>
        <w:b/>
        <w:bCs/>
        <w:sz w:val="24"/>
        <w:szCs w:val="24"/>
        <w:lang w:eastAsia="es-MX"/>
      </w:rPr>
      <w:t>03315</w:t>
    </w:r>
    <w:r w:rsidR="00676AA1">
      <w:rPr>
        <w:rFonts w:ascii="Palatino Linotype" w:hAnsi="Palatino Linotype" w:cs="Arial"/>
        <w:b/>
        <w:bCs/>
        <w:sz w:val="24"/>
        <w:szCs w:val="24"/>
        <w:lang w:eastAsia="es-MX"/>
      </w:rPr>
      <w:t>/INFOEM/IP/RR/2018</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4E432927"/>
    <w:multiLevelType w:val="hybridMultilevel"/>
    <w:tmpl w:val="83DC2F5A"/>
    <w:lvl w:ilvl="0" w:tplc="E35282FC">
      <w:start w:val="1"/>
      <w:numFmt w:val="upp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15:restartNumberingAfterBreak="0">
    <w:nsid w:val="77682982"/>
    <w:multiLevelType w:val="hybridMultilevel"/>
    <w:tmpl w:val="43EE7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67249"/>
    <w:rsid w:val="000953DB"/>
    <w:rsid w:val="000A0233"/>
    <w:rsid w:val="000B1348"/>
    <w:rsid w:val="00135DC4"/>
    <w:rsid w:val="00142683"/>
    <w:rsid w:val="0015436A"/>
    <w:rsid w:val="001D7F8C"/>
    <w:rsid w:val="001F0720"/>
    <w:rsid w:val="00205EAE"/>
    <w:rsid w:val="00227985"/>
    <w:rsid w:val="00247AFA"/>
    <w:rsid w:val="00290B8C"/>
    <w:rsid w:val="002E5896"/>
    <w:rsid w:val="002E71A8"/>
    <w:rsid w:val="00320195"/>
    <w:rsid w:val="003263BA"/>
    <w:rsid w:val="00327CA0"/>
    <w:rsid w:val="00330E2B"/>
    <w:rsid w:val="00333FB3"/>
    <w:rsid w:val="00345E52"/>
    <w:rsid w:val="00365C9A"/>
    <w:rsid w:val="003F1069"/>
    <w:rsid w:val="00494872"/>
    <w:rsid w:val="004B07A8"/>
    <w:rsid w:val="004D1CAC"/>
    <w:rsid w:val="004E3E94"/>
    <w:rsid w:val="00515607"/>
    <w:rsid w:val="00563AE5"/>
    <w:rsid w:val="00581A89"/>
    <w:rsid w:val="0058781A"/>
    <w:rsid w:val="0059780A"/>
    <w:rsid w:val="005F1255"/>
    <w:rsid w:val="00600BA3"/>
    <w:rsid w:val="00641437"/>
    <w:rsid w:val="00642384"/>
    <w:rsid w:val="00661191"/>
    <w:rsid w:val="00665FB4"/>
    <w:rsid w:val="00676AA1"/>
    <w:rsid w:val="00696583"/>
    <w:rsid w:val="006E3920"/>
    <w:rsid w:val="006F1764"/>
    <w:rsid w:val="007529BE"/>
    <w:rsid w:val="007D3ACA"/>
    <w:rsid w:val="008030EC"/>
    <w:rsid w:val="0085185A"/>
    <w:rsid w:val="008633C2"/>
    <w:rsid w:val="0087546B"/>
    <w:rsid w:val="008C096B"/>
    <w:rsid w:val="008E6B30"/>
    <w:rsid w:val="009472B6"/>
    <w:rsid w:val="009D3E65"/>
    <w:rsid w:val="00A003D8"/>
    <w:rsid w:val="00A275AD"/>
    <w:rsid w:val="00A645F0"/>
    <w:rsid w:val="00A658A2"/>
    <w:rsid w:val="00B65B8E"/>
    <w:rsid w:val="00BC44E5"/>
    <w:rsid w:val="00BF0F61"/>
    <w:rsid w:val="00C06F10"/>
    <w:rsid w:val="00C12077"/>
    <w:rsid w:val="00C20EEA"/>
    <w:rsid w:val="00CC313E"/>
    <w:rsid w:val="00CC3F5C"/>
    <w:rsid w:val="00CE3748"/>
    <w:rsid w:val="00CF41AE"/>
    <w:rsid w:val="00D645C9"/>
    <w:rsid w:val="00D6696F"/>
    <w:rsid w:val="00D7719B"/>
    <w:rsid w:val="00DA7071"/>
    <w:rsid w:val="00DB6D11"/>
    <w:rsid w:val="00DF15CF"/>
    <w:rsid w:val="00DF658A"/>
    <w:rsid w:val="00E23BCA"/>
    <w:rsid w:val="00E555F0"/>
    <w:rsid w:val="00EE431A"/>
    <w:rsid w:val="00F01BDD"/>
    <w:rsid w:val="00F17720"/>
    <w:rsid w:val="00F3326D"/>
    <w:rsid w:val="00F370A8"/>
    <w:rsid w:val="00F4125F"/>
    <w:rsid w:val="00F53D42"/>
    <w:rsid w:val="00F572A9"/>
    <w:rsid w:val="00F7442A"/>
    <w:rsid w:val="00FD12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basedOn w:val="Normal"/>
    <w:link w:val="TextonotapieCar"/>
    <w:uiPriority w:val="99"/>
    <w:semiHidden/>
    <w:unhideWhenUsed/>
    <w:rsid w:val="00665FB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571579926">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 w:id="17905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5284-9038-49AA-B973-2C1D3F37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1927</Words>
  <Characters>10600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2018-10-01T17:52:00Z</cp:lastPrinted>
  <dcterms:created xsi:type="dcterms:W3CDTF">2018-11-05T16:39:00Z</dcterms:created>
  <dcterms:modified xsi:type="dcterms:W3CDTF">2018-11-05T16:39:00Z</dcterms:modified>
</cp:coreProperties>
</file>